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954"/>
        <w:gridCol w:w="4388"/>
      </w:tblGrid>
      <w:tr w:rsidR="00930078" w14:paraId="2F0C98BF" w14:textId="77777777" w:rsidTr="00930078">
        <w:trPr>
          <w:trHeight w:val="74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CEC08F" w14:textId="17F851AF" w:rsidR="00930078" w:rsidRDefault="00930078" w:rsidP="0093007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8B7F343" wp14:editId="48CE1414">
                  <wp:extent cx="1676400" cy="482804"/>
                  <wp:effectExtent l="0" t="0" r="0" b="0"/>
                  <wp:docPr id="1" name="Picture 1" descr="Lietuvos neformaliojo švietimo agentū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etuvos neformaliojo švietimo agentū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20" cy="49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17B3117" wp14:editId="1FC988B8">
                  <wp:extent cx="1336675" cy="412554"/>
                  <wp:effectExtent l="0" t="0" r="0" b="6985"/>
                  <wp:docPr id="2" name="Picture 1" descr="Muk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k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72" cy="41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38697728" w14:textId="77777777" w:rsidR="00930078" w:rsidRPr="00930078" w:rsidRDefault="00930078" w:rsidP="0093007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78">
              <w:rPr>
                <w:rFonts w:ascii="Arial" w:hAnsi="Arial" w:cs="Arial"/>
                <w:b/>
                <w:bCs/>
                <w:sz w:val="20"/>
                <w:szCs w:val="20"/>
              </w:rPr>
              <w:t>Lietuvos neformaliojo švietimo agentūros</w:t>
            </w:r>
          </w:p>
          <w:p w14:paraId="410CFD0B" w14:textId="77777777" w:rsidR="00930078" w:rsidRPr="00930078" w:rsidRDefault="00930078" w:rsidP="0093007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78">
              <w:rPr>
                <w:rFonts w:ascii="Arial" w:hAnsi="Arial" w:cs="Arial"/>
                <w:b/>
                <w:bCs/>
                <w:sz w:val="20"/>
                <w:szCs w:val="20"/>
              </w:rPr>
              <w:t>Ugdymo karjerai skyriaus specialistė</w:t>
            </w:r>
          </w:p>
          <w:p w14:paraId="6DBE0D2E" w14:textId="2A545BB9" w:rsidR="00930078" w:rsidRDefault="00930078" w:rsidP="0093007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0078">
              <w:rPr>
                <w:rFonts w:ascii="Arial" w:hAnsi="Arial" w:cs="Arial"/>
                <w:b/>
                <w:bCs/>
                <w:sz w:val="20"/>
                <w:szCs w:val="20"/>
              </w:rPr>
              <w:t>Vitalija Paurienė</w:t>
            </w:r>
          </w:p>
        </w:tc>
      </w:tr>
    </w:tbl>
    <w:p w14:paraId="457DD228" w14:textId="77777777" w:rsidR="00930078" w:rsidRPr="00930078" w:rsidRDefault="00930078" w:rsidP="00930078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071ABF" w14:textId="06F413FD" w:rsidR="00876993" w:rsidRPr="00930078" w:rsidRDefault="00930078" w:rsidP="00930078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930078">
        <w:rPr>
          <w:rFonts w:ascii="Arial" w:hAnsi="Arial" w:cs="Arial"/>
          <w:b/>
          <w:bCs/>
          <w:i/>
          <w:iCs/>
          <w:sz w:val="36"/>
          <w:szCs w:val="36"/>
        </w:rPr>
        <w:t>Pamokos „Mano vertybės“ planas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90BC1" w14:paraId="4E4317BD" w14:textId="77777777" w:rsidTr="0038156E">
        <w:tc>
          <w:tcPr>
            <w:tcW w:w="2972" w:type="dxa"/>
            <w:shd w:val="clear" w:color="auto" w:fill="FFC000"/>
          </w:tcPr>
          <w:p w14:paraId="11D0C61C" w14:textId="7DD15E2B" w:rsidR="00C90BC1" w:rsidRPr="00930078" w:rsidRDefault="00930078" w:rsidP="0093007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0078">
              <w:rPr>
                <w:rFonts w:ascii="Arial" w:hAnsi="Arial" w:cs="Arial"/>
                <w:b/>
                <w:bCs/>
                <w:sz w:val="24"/>
                <w:szCs w:val="24"/>
              </w:rPr>
              <w:t>Tikslinė grupė</w:t>
            </w:r>
          </w:p>
        </w:tc>
        <w:tc>
          <w:tcPr>
            <w:tcW w:w="6656" w:type="dxa"/>
          </w:tcPr>
          <w:p w14:paraId="114CE6E8" w14:textId="34DB9D85" w:rsidR="00C90BC1" w:rsidRDefault="00930078" w:rsidP="0093007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7C2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4 kl.</w:t>
            </w:r>
            <w:r w:rsidR="00D610D5">
              <w:rPr>
                <w:rFonts w:ascii="Arial" w:hAnsi="Arial" w:cs="Arial"/>
                <w:sz w:val="24"/>
                <w:szCs w:val="24"/>
              </w:rPr>
              <w:t xml:space="preserve"> mokiniai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0BC1" w14:paraId="286D1921" w14:textId="77777777" w:rsidTr="0038156E">
        <w:tc>
          <w:tcPr>
            <w:tcW w:w="2972" w:type="dxa"/>
            <w:shd w:val="clear" w:color="auto" w:fill="FFC000"/>
          </w:tcPr>
          <w:p w14:paraId="7EF2961B" w14:textId="7ACA517A" w:rsidR="00C90BC1" w:rsidRPr="00930078" w:rsidRDefault="00930078" w:rsidP="0093007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0078">
              <w:rPr>
                <w:rFonts w:ascii="Arial" w:hAnsi="Arial" w:cs="Arial"/>
                <w:b/>
                <w:bCs/>
                <w:sz w:val="24"/>
                <w:szCs w:val="24"/>
              </w:rPr>
              <w:t>Pamokos tikslas</w:t>
            </w:r>
          </w:p>
        </w:tc>
        <w:tc>
          <w:tcPr>
            <w:tcW w:w="6656" w:type="dxa"/>
          </w:tcPr>
          <w:p w14:paraId="3B7591F4" w14:textId="133B3ECC" w:rsidR="00C90BC1" w:rsidRDefault="0090226D" w:rsidP="0093007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EC">
              <w:rPr>
                <w:rFonts w:ascii="Arial" w:hAnsi="Arial" w:cs="Arial"/>
                <w:sz w:val="24"/>
                <w:szCs w:val="24"/>
              </w:rPr>
              <w:t>Sudaryti sąlygas mokiniams</w:t>
            </w:r>
            <w:r w:rsidR="00180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3EC">
              <w:rPr>
                <w:rFonts w:ascii="Arial" w:hAnsi="Arial" w:cs="Arial"/>
                <w:sz w:val="24"/>
                <w:szCs w:val="24"/>
              </w:rPr>
              <w:t>žaidybine forma patirti savo vertybių reikšmingumą.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00C0" w14:paraId="1F28F76F" w14:textId="77777777" w:rsidTr="0038156E">
        <w:tc>
          <w:tcPr>
            <w:tcW w:w="2972" w:type="dxa"/>
            <w:shd w:val="clear" w:color="auto" w:fill="FFC000"/>
          </w:tcPr>
          <w:p w14:paraId="777E7766" w14:textId="709607A7" w:rsidR="001800C0" w:rsidRPr="00930078" w:rsidRDefault="001800C0" w:rsidP="0093007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Pamokos uždaviniai</w:t>
            </w:r>
          </w:p>
        </w:tc>
        <w:tc>
          <w:tcPr>
            <w:tcW w:w="6656" w:type="dxa"/>
          </w:tcPr>
          <w:p w14:paraId="5ECFCCAB" w14:textId="2484BBFC" w:rsidR="001800C0" w:rsidRDefault="00F70B98" w:rsidP="001800C0">
            <w:pPr>
              <w:pStyle w:val="ListParagraph"/>
              <w:numPr>
                <w:ilvl w:val="0"/>
                <w:numId w:val="4"/>
              </w:numPr>
              <w:spacing w:before="120" w:after="120"/>
              <w:ind w:left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Gebėti įvardyti</w:t>
            </w:r>
            <w:r w:rsidR="001800C0">
              <w:rPr>
                <w:rFonts w:ascii="Arial" w:hAnsi="Arial" w:cs="Arial"/>
                <w:sz w:val="24"/>
                <w:szCs w:val="24"/>
              </w:rPr>
              <w:t>, kas yra vertybės, kokios jos būna ir kokią reikšmę turi žmogaus gyvenime.</w:t>
            </w:r>
          </w:p>
          <w:p w14:paraId="643B1009" w14:textId="4A364FD4" w:rsidR="00F70B98" w:rsidRDefault="00F70B98" w:rsidP="001800C0">
            <w:pPr>
              <w:pStyle w:val="ListParagraph"/>
              <w:numPr>
                <w:ilvl w:val="0"/>
                <w:numId w:val="4"/>
              </w:numPr>
              <w:spacing w:before="120" w:after="120"/>
              <w:ind w:left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Suprasti, kas bendro tarp būsimos profesijos ir vertybių. </w:t>
            </w:r>
          </w:p>
          <w:p w14:paraId="49B77C50" w14:textId="672477DC" w:rsidR="001800C0" w:rsidRPr="001800C0" w:rsidRDefault="00F70B98" w:rsidP="001800C0">
            <w:pPr>
              <w:pStyle w:val="ListParagraph"/>
              <w:numPr>
                <w:ilvl w:val="0"/>
                <w:numId w:val="4"/>
              </w:numPr>
              <w:spacing w:before="120" w:after="120"/>
              <w:ind w:left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Išskirti 4 svarbiausias vertybes, paaiškinti, kodėl pasirinktos buvo būtent jos. </w:t>
            </w:r>
          </w:p>
        </w:tc>
      </w:tr>
      <w:tr w:rsidR="00C90BC1" w14:paraId="4196AD8A" w14:textId="77777777" w:rsidTr="0038156E">
        <w:tc>
          <w:tcPr>
            <w:tcW w:w="2972" w:type="dxa"/>
            <w:shd w:val="clear" w:color="auto" w:fill="FFC000"/>
          </w:tcPr>
          <w:p w14:paraId="7C69D882" w14:textId="782DEA5D" w:rsidR="00C90BC1" w:rsidRPr="00930078" w:rsidRDefault="00930078" w:rsidP="0093007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0078">
              <w:rPr>
                <w:rFonts w:ascii="Arial" w:hAnsi="Arial" w:cs="Arial"/>
                <w:b/>
                <w:bCs/>
                <w:sz w:val="24"/>
                <w:szCs w:val="24"/>
              </w:rPr>
              <w:t>Ugdoma karjeros kompetencija</w:t>
            </w:r>
          </w:p>
        </w:tc>
        <w:tc>
          <w:tcPr>
            <w:tcW w:w="6656" w:type="dxa"/>
          </w:tcPr>
          <w:p w14:paraId="03A3E50C" w14:textId="26926C21" w:rsidR="00C90BC1" w:rsidRDefault="00A36C49" w:rsidP="0093007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Savęs pažinimo ir priėmimo</w:t>
            </w:r>
          </w:p>
        </w:tc>
      </w:tr>
      <w:tr w:rsidR="0024177B" w14:paraId="69A52A6C" w14:textId="77777777" w:rsidTr="0038156E">
        <w:tc>
          <w:tcPr>
            <w:tcW w:w="2972" w:type="dxa"/>
            <w:shd w:val="clear" w:color="auto" w:fill="FFC000"/>
          </w:tcPr>
          <w:p w14:paraId="7AC8342F" w14:textId="7427140A" w:rsidR="0024177B" w:rsidRPr="00930078" w:rsidRDefault="0024177B" w:rsidP="0093007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Integracijos į bendrojo ugdymo dalykus galimybės</w:t>
            </w:r>
          </w:p>
        </w:tc>
        <w:tc>
          <w:tcPr>
            <w:tcW w:w="6656" w:type="dxa"/>
          </w:tcPr>
          <w:p w14:paraId="6D86DBA5" w14:textId="7DDA9622" w:rsidR="0024177B" w:rsidRDefault="0090226D" w:rsidP="0093007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Dorinis ugdymas (etika, tikyba), klasės valandėlė</w:t>
            </w:r>
          </w:p>
        </w:tc>
      </w:tr>
      <w:tr w:rsidR="00930078" w14:paraId="3F807659" w14:textId="77777777" w:rsidTr="0038156E">
        <w:tc>
          <w:tcPr>
            <w:tcW w:w="2972" w:type="dxa"/>
            <w:shd w:val="clear" w:color="auto" w:fill="FFC000"/>
          </w:tcPr>
          <w:p w14:paraId="0E46DF5A" w14:textId="58E2A4C3" w:rsidR="00930078" w:rsidRPr="00930078" w:rsidRDefault="00930078" w:rsidP="0093007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0078">
              <w:rPr>
                <w:rFonts w:ascii="Arial" w:hAnsi="Arial" w:cs="Arial"/>
                <w:b/>
                <w:bCs/>
                <w:sz w:val="24"/>
                <w:szCs w:val="24"/>
              </w:rPr>
              <w:t>Reikalingos priemonės</w:t>
            </w:r>
          </w:p>
        </w:tc>
        <w:tc>
          <w:tcPr>
            <w:tcW w:w="6656" w:type="dxa"/>
          </w:tcPr>
          <w:p w14:paraId="4FF32FE0" w14:textId="1AC24311" w:rsidR="00930078" w:rsidRDefault="00A36C49" w:rsidP="0093007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Rašymo priemonės (tušinukas, pieštukas, flomasteriai ir kt.), žirklės, klijai</w:t>
            </w:r>
          </w:p>
        </w:tc>
      </w:tr>
      <w:tr w:rsidR="00930078" w14:paraId="381E4498" w14:textId="77777777" w:rsidTr="0038156E">
        <w:tc>
          <w:tcPr>
            <w:tcW w:w="2972" w:type="dxa"/>
            <w:shd w:val="clear" w:color="auto" w:fill="FFC000"/>
          </w:tcPr>
          <w:p w14:paraId="5E81B1C2" w14:textId="3EA89622" w:rsidR="00930078" w:rsidRPr="00930078" w:rsidRDefault="00930078" w:rsidP="0093007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0078">
              <w:rPr>
                <w:rFonts w:ascii="Arial" w:hAnsi="Arial" w:cs="Arial"/>
                <w:b/>
                <w:bCs/>
                <w:sz w:val="24"/>
                <w:szCs w:val="24"/>
              </w:rPr>
              <w:t>Pamokos eiga</w:t>
            </w:r>
          </w:p>
        </w:tc>
        <w:tc>
          <w:tcPr>
            <w:tcW w:w="6656" w:type="dxa"/>
          </w:tcPr>
          <w:p w14:paraId="62D04F9F" w14:textId="69E6BBD8" w:rsidR="004B42C8" w:rsidRPr="00D02F58" w:rsidRDefault="00D02F58" w:rsidP="001800C0">
            <w:pPr>
              <w:pStyle w:val="ListParagraph"/>
              <w:numPr>
                <w:ilvl w:val="0"/>
                <w:numId w:val="2"/>
              </w:numPr>
              <w:spacing w:before="120" w:after="120"/>
              <w:ind w:left="643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Mokinių sudominimas. 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Trumpas p</w:t>
            </w:r>
            <w:r w:rsidR="004B42C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okalbis su mokiniais apie jų lankomus būrelius</w:t>
            </w:r>
            <w:r w:rsidR="00332D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381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dominančiomis profesijomis </w:t>
            </w:r>
            <w:r w:rsidR="00332D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ir 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kas bendro tarp </w:t>
            </w:r>
            <w:r w:rsidR="00F70B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būsimos profesijos 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ir vertybių</w:t>
            </w:r>
            <w:r w:rsidR="004B42C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Sudominant mokinius </w:t>
            </w:r>
            <w:r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pabrėž</w:t>
            </w:r>
            <w:r w:rsidR="0038156E">
              <w:rPr>
                <w:rFonts w:ascii="Arial" w:hAnsi="Arial" w:cs="Arial"/>
                <w:color w:val="000000" w:themeColor="text1"/>
                <w:sz w:val="24"/>
                <w:szCs w:val="24"/>
              </w:rPr>
              <w:t>iama</w:t>
            </w:r>
            <w:r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kad pirmas žingsnis, kuris padeda pasirinkti profesiją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visuomet 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yra savęs pažinimas</w:t>
            </w:r>
            <w:r w:rsidR="00381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mokėjimas pažinti savo </w:t>
            </w:r>
            <w:r w:rsidR="00381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asmenybės bruožus, 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pomėgius, gebėjimus</w:t>
            </w:r>
            <w:r w:rsidR="0038156E">
              <w:rPr>
                <w:rFonts w:ascii="Arial" w:hAnsi="Arial" w:cs="Arial"/>
                <w:color w:val="000000" w:themeColor="text1"/>
                <w:sz w:val="24"/>
                <w:szCs w:val="24"/>
              </w:rPr>
              <w:t>, jausmus, vertybes ir kt.)</w:t>
            </w:r>
            <w:r w:rsidR="00E16D8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Pasinaudojus minčių lietaus metodu, galima p</w:t>
            </w:r>
            <w:r w:rsidR="004B42C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aklausti vaikų, kaip jie galvoja, kas yra vertybės</w:t>
            </w:r>
            <w:r w:rsidR="006F41BB">
              <w:rPr>
                <w:rFonts w:ascii="Arial" w:hAnsi="Arial" w:cs="Arial"/>
                <w:color w:val="000000" w:themeColor="text1"/>
                <w:sz w:val="24"/>
                <w:szCs w:val="24"/>
              </w:rPr>
              <w:t>, o v</w:t>
            </w:r>
            <w:r w:rsidR="004B42C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aikų mintis </w:t>
            </w:r>
            <w:r w:rsidR="006F41BB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4B42C8" w:rsidRPr="00D02F58">
              <w:rPr>
                <w:rFonts w:ascii="Arial" w:hAnsi="Arial" w:cs="Arial"/>
                <w:color w:val="000000" w:themeColor="text1"/>
                <w:sz w:val="24"/>
                <w:szCs w:val="24"/>
              </w:rPr>
              <w:t>žrašyti lentoje.</w:t>
            </w:r>
            <w:r w:rsidR="004B42C8" w:rsidRPr="00D02F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D55F24" w14:textId="1C854EFD" w:rsidR="00D02F58" w:rsidRPr="00CD2054" w:rsidRDefault="00D02F58" w:rsidP="001800C0">
            <w:pPr>
              <w:pStyle w:val="ListParagraph"/>
              <w:numPr>
                <w:ilvl w:val="0"/>
                <w:numId w:val="2"/>
              </w:numPr>
              <w:spacing w:before="120" w:after="120"/>
              <w:ind w:left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Teorinė pamokos dalis.</w:t>
            </w:r>
            <w:r w:rsidR="00CD20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2054" w:rsidRPr="00CD2054">
              <w:rPr>
                <w:rFonts w:ascii="Arial" w:hAnsi="Arial" w:cs="Arial"/>
                <w:sz w:val="24"/>
                <w:szCs w:val="24"/>
              </w:rPr>
              <w:t>M</w:t>
            </w:r>
            <w:r w:rsidR="00CD2054">
              <w:rPr>
                <w:rFonts w:ascii="Arial" w:hAnsi="Arial" w:cs="Arial"/>
                <w:sz w:val="24"/>
                <w:szCs w:val="24"/>
              </w:rPr>
              <w:t>o</w:t>
            </w:r>
            <w:r w:rsidR="00CD2054" w:rsidRPr="00CD2054">
              <w:rPr>
                <w:rFonts w:ascii="Arial" w:hAnsi="Arial" w:cs="Arial"/>
                <w:sz w:val="24"/>
                <w:szCs w:val="24"/>
              </w:rPr>
              <w:t>kiniams pasakojama,</w:t>
            </w:r>
            <w:r w:rsidR="00332D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054" w:rsidRPr="00CD2054">
              <w:rPr>
                <w:rFonts w:ascii="Arial" w:hAnsi="Arial" w:cs="Arial"/>
                <w:sz w:val="24"/>
                <w:szCs w:val="24"/>
              </w:rPr>
              <w:t>kas yra vertybės</w:t>
            </w:r>
            <w:r w:rsidR="00CD2054">
              <w:rPr>
                <w:rFonts w:ascii="Arial" w:hAnsi="Arial" w:cs="Arial"/>
                <w:sz w:val="24"/>
                <w:szCs w:val="24"/>
              </w:rPr>
              <w:t>, jų aptarimui</w:t>
            </w:r>
            <w:r w:rsidR="000065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054">
              <w:rPr>
                <w:rFonts w:ascii="Arial" w:hAnsi="Arial" w:cs="Arial"/>
                <w:sz w:val="24"/>
                <w:szCs w:val="24"/>
              </w:rPr>
              <w:t>demonstruojamos skaidrės.</w:t>
            </w:r>
            <w:r w:rsidR="00F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05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F1172D7" w14:textId="77777777" w:rsidR="00186B20" w:rsidRDefault="00D02F58" w:rsidP="001800C0">
            <w:pPr>
              <w:pStyle w:val="ListParagraph"/>
              <w:numPr>
                <w:ilvl w:val="0"/>
                <w:numId w:val="2"/>
              </w:numPr>
              <w:spacing w:before="120" w:after="120"/>
              <w:ind w:left="6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Praktinė pamokos dalis</w:t>
            </w:r>
            <w:r w:rsidR="00CD205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86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6B20" w:rsidRPr="00186B20">
              <w:rPr>
                <w:rFonts w:ascii="Arial" w:hAnsi="Arial" w:cs="Arial"/>
                <w:sz w:val="24"/>
                <w:szCs w:val="24"/>
              </w:rPr>
              <w:t xml:space="preserve">Mokiniai atlieka </w:t>
            </w:r>
            <w:r w:rsidR="00186B2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86B20" w:rsidRPr="00186B20">
              <w:rPr>
                <w:rFonts w:ascii="Arial" w:hAnsi="Arial" w:cs="Arial"/>
                <w:sz w:val="24"/>
                <w:szCs w:val="24"/>
              </w:rPr>
              <w:t>praktines užduotis</w:t>
            </w:r>
            <w:r w:rsidR="00186B2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4BF8A9" w14:textId="143BCF3C" w:rsidR="00D610D5" w:rsidRDefault="00132591" w:rsidP="00186B20">
            <w:pPr>
              <w:pStyle w:val="ListParagraph"/>
              <w:numPr>
                <w:ilvl w:val="0"/>
                <w:numId w:val="3"/>
              </w:numPr>
              <w:spacing w:before="120" w:after="120"/>
              <w:ind w:left="8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591">
              <w:rPr>
                <w:rFonts w:ascii="Arial" w:hAnsi="Arial" w:cs="Arial"/>
                <w:sz w:val="24"/>
                <w:szCs w:val="24"/>
                <w:u w:val="single"/>
              </w:rPr>
              <w:t>Praktinė užduotis Nr. 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86B20" w:rsidRPr="00186B20">
              <w:rPr>
                <w:rFonts w:ascii="Arial" w:hAnsi="Arial" w:cs="Arial"/>
                <w:sz w:val="24"/>
                <w:szCs w:val="24"/>
              </w:rPr>
              <w:t>Po skaidrių demonstracijos paprašoma, kad mokiniai iš išdalintų lapų su vertybių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B20" w:rsidRPr="00186B20">
              <w:rPr>
                <w:rFonts w:ascii="Arial" w:hAnsi="Arial" w:cs="Arial"/>
                <w:sz w:val="24"/>
                <w:szCs w:val="24"/>
              </w:rPr>
              <w:t>lentele išsirinktų</w:t>
            </w:r>
            <w:r>
              <w:rPr>
                <w:rFonts w:ascii="Arial" w:hAnsi="Arial" w:cs="Arial"/>
                <w:sz w:val="24"/>
                <w:szCs w:val="24"/>
              </w:rPr>
              <w:t xml:space="preserve"> ir išsikirptų jiems </w:t>
            </w:r>
            <w:r w:rsidR="00186B20" w:rsidRPr="00186B20">
              <w:rPr>
                <w:rFonts w:ascii="Arial" w:hAnsi="Arial" w:cs="Arial"/>
                <w:sz w:val="24"/>
                <w:szCs w:val="24"/>
              </w:rPr>
              <w:t xml:space="preserve">svarbiausias </w:t>
            </w:r>
            <w:r w:rsidR="00EC23EC">
              <w:rPr>
                <w:rFonts w:ascii="Arial" w:hAnsi="Arial" w:cs="Arial"/>
                <w:sz w:val="24"/>
                <w:szCs w:val="24"/>
              </w:rPr>
              <w:t>4</w:t>
            </w:r>
            <w:r w:rsidR="00186B20" w:rsidRPr="00186B20">
              <w:rPr>
                <w:rFonts w:ascii="Arial" w:hAnsi="Arial" w:cs="Arial"/>
                <w:sz w:val="24"/>
                <w:szCs w:val="24"/>
              </w:rPr>
              <w:t xml:space="preserve"> vertybes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CBBFE7" w14:textId="6EC2AB67" w:rsidR="00132591" w:rsidRPr="00186B20" w:rsidRDefault="00132591" w:rsidP="00186B20">
            <w:pPr>
              <w:pStyle w:val="ListParagraph"/>
              <w:numPr>
                <w:ilvl w:val="0"/>
                <w:numId w:val="3"/>
              </w:numPr>
              <w:spacing w:before="120" w:after="120"/>
              <w:ind w:left="8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Praktinė užduotis </w:t>
            </w:r>
            <w:r w:rsidRPr="00132591">
              <w:rPr>
                <w:rFonts w:ascii="Arial" w:hAnsi="Arial" w:cs="Arial"/>
                <w:sz w:val="24"/>
                <w:szCs w:val="24"/>
                <w:u w:val="single"/>
              </w:rPr>
              <w:t>Nr. 2</w:t>
            </w:r>
            <w:r>
              <w:rPr>
                <w:rFonts w:ascii="Arial" w:hAnsi="Arial" w:cs="Arial"/>
                <w:sz w:val="24"/>
                <w:szCs w:val="24"/>
              </w:rPr>
              <w:t xml:space="preserve">. Iš pasirinktų 4 vertybių, mokiniams pasiūloma susikurti </w:t>
            </w:r>
            <w:r w:rsidR="00EC23EC">
              <w:rPr>
                <w:rFonts w:ascii="Arial" w:hAnsi="Arial" w:cs="Arial"/>
                <w:sz w:val="24"/>
                <w:szCs w:val="24"/>
              </w:rPr>
              <w:t>asmeninį</w:t>
            </w:r>
            <w:r>
              <w:rPr>
                <w:rFonts w:ascii="Arial" w:hAnsi="Arial" w:cs="Arial"/>
                <w:sz w:val="24"/>
                <w:szCs w:val="24"/>
              </w:rPr>
              <w:t xml:space="preserve"> vertybių herbą</w:t>
            </w:r>
            <w:r w:rsidR="00EC23EC">
              <w:rPr>
                <w:rFonts w:ascii="Arial" w:hAnsi="Arial" w:cs="Arial"/>
                <w:sz w:val="24"/>
                <w:szCs w:val="24"/>
              </w:rPr>
              <w:t xml:space="preserve"> ir papasakoti apie jį klasės draugams. Jeigu </w:t>
            </w:r>
            <w:r w:rsidR="00EC23EC">
              <w:rPr>
                <w:rFonts w:ascii="Arial" w:hAnsi="Arial" w:cs="Arial"/>
                <w:sz w:val="24"/>
                <w:szCs w:val="24"/>
              </w:rPr>
              <w:lastRenderedPageBreak/>
              <w:t xml:space="preserve">vienu metu dirbama su keliomis klasėmis, mokiniai gali kurti ne asmeninius, o klasės vertybių herbus.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308D4F0C" w14:textId="119DCED2" w:rsidR="00930078" w:rsidRPr="00194578" w:rsidRDefault="00EC23EC" w:rsidP="001800C0">
            <w:pPr>
              <w:pStyle w:val="ListParagraph"/>
              <w:numPr>
                <w:ilvl w:val="0"/>
                <w:numId w:val="2"/>
              </w:numPr>
              <w:spacing w:before="120" w:after="120"/>
              <w:ind w:left="6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Pamokos apibendrinimas. </w:t>
            </w:r>
            <w:r w:rsidRPr="00EC23EC">
              <w:rPr>
                <w:rFonts w:ascii="Arial" w:hAnsi="Arial" w:cs="Arial"/>
                <w:sz w:val="24"/>
                <w:szCs w:val="24"/>
              </w:rPr>
              <w:t>Aptariant atliktų užduočių</w:t>
            </w:r>
            <w:r>
              <w:rPr>
                <w:rFonts w:ascii="Arial" w:hAnsi="Arial" w:cs="Arial"/>
                <w:sz w:val="24"/>
                <w:szCs w:val="24"/>
              </w:rPr>
              <w:t xml:space="preserve"> rezultatus, ant lentos užrašoma, kokios vertybės dažniausiai dominavo vaikų sukurtuose vertybių herbuose. </w:t>
            </w:r>
          </w:p>
        </w:tc>
      </w:tr>
      <w:tr w:rsidR="00930078" w14:paraId="6143F6A3" w14:textId="77777777" w:rsidTr="0038156E">
        <w:tc>
          <w:tcPr>
            <w:tcW w:w="2972" w:type="dxa"/>
            <w:shd w:val="clear" w:color="auto" w:fill="FFC000"/>
          </w:tcPr>
          <w:p w14:paraId="10926669" w14:textId="110C4537" w:rsidR="00930078" w:rsidRPr="00930078" w:rsidRDefault="00D02F58" w:rsidP="0093007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Rekomenduojama </w:t>
            </w:r>
            <w:r w:rsidR="00930078" w:rsidRPr="00930078">
              <w:rPr>
                <w:rFonts w:ascii="Arial" w:hAnsi="Arial" w:cs="Arial"/>
                <w:b/>
                <w:bCs/>
                <w:sz w:val="24"/>
                <w:szCs w:val="24"/>
              </w:rPr>
              <w:t>literatūra</w:t>
            </w:r>
          </w:p>
        </w:tc>
        <w:tc>
          <w:tcPr>
            <w:tcW w:w="6656" w:type="dxa"/>
          </w:tcPr>
          <w:p w14:paraId="2A9E33B8" w14:textId="7FECF58A" w:rsidR="00D27C21" w:rsidRPr="00D27C21" w:rsidRDefault="00D27C21" w:rsidP="0038156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C21">
              <w:rPr>
                <w:rFonts w:ascii="Arial" w:hAnsi="Arial" w:cs="Arial"/>
                <w:sz w:val="24"/>
                <w:szCs w:val="24"/>
              </w:rPr>
              <w:t xml:space="preserve">Karjeros vadovas </w:t>
            </w:r>
            <w:r w:rsidR="00F714AB" w:rsidRPr="00D27C2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–</w:t>
            </w:r>
            <w:r w:rsidR="00F714AB" w:rsidRPr="00D27C21">
              <w:rPr>
                <w:rFonts w:ascii="Arial" w:hAnsi="Arial" w:cs="Arial"/>
                <w:sz w:val="24"/>
                <w:szCs w:val="24"/>
              </w:rPr>
              <w:t>4 kl.</w:t>
            </w:r>
            <w:r w:rsidRPr="00D27C21">
              <w:rPr>
                <w:rFonts w:ascii="Arial" w:hAnsi="Arial" w:cs="Arial"/>
                <w:sz w:val="24"/>
                <w:szCs w:val="24"/>
              </w:rPr>
              <w:t>: mokinio knyga (V. Stanišauskienė ir kt., 2023)</w:t>
            </w:r>
          </w:p>
          <w:p w14:paraId="0B908382" w14:textId="3DC159D3" w:rsidR="00F714AB" w:rsidRDefault="00F714AB" w:rsidP="0038156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C21">
              <w:rPr>
                <w:rFonts w:ascii="Arial" w:hAnsi="Arial" w:cs="Arial"/>
                <w:sz w:val="24"/>
                <w:szCs w:val="24"/>
              </w:rPr>
              <w:t>Ugdymas karjerai</w:t>
            </w:r>
            <w:r w:rsidR="00D27C21" w:rsidRPr="00D27C2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D27C2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–</w:t>
            </w:r>
            <w:r w:rsidR="00D27C21" w:rsidRPr="00D27C21">
              <w:rPr>
                <w:rFonts w:ascii="Arial" w:hAnsi="Arial" w:cs="Arial"/>
                <w:sz w:val="24"/>
                <w:szCs w:val="24"/>
              </w:rPr>
              <w:t>4</w:t>
            </w:r>
            <w:r w:rsidR="00D27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C21" w:rsidRPr="00D27C21">
              <w:rPr>
                <w:rFonts w:ascii="Arial" w:hAnsi="Arial" w:cs="Arial"/>
                <w:sz w:val="24"/>
                <w:szCs w:val="24"/>
              </w:rPr>
              <w:t>kl.</w:t>
            </w:r>
            <w:r w:rsidRPr="00D27C21">
              <w:rPr>
                <w:rFonts w:ascii="Arial" w:hAnsi="Arial" w:cs="Arial"/>
                <w:sz w:val="24"/>
                <w:szCs w:val="24"/>
              </w:rPr>
              <w:t>:</w:t>
            </w:r>
            <w:r w:rsidR="00381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C21">
              <w:rPr>
                <w:rFonts w:ascii="Arial" w:hAnsi="Arial" w:cs="Arial"/>
                <w:sz w:val="24"/>
                <w:szCs w:val="24"/>
              </w:rPr>
              <w:t>m</w:t>
            </w:r>
            <w:r w:rsidR="00D27C21" w:rsidRPr="00D27C21">
              <w:rPr>
                <w:rFonts w:ascii="Arial" w:hAnsi="Arial" w:cs="Arial"/>
                <w:sz w:val="24"/>
                <w:szCs w:val="24"/>
              </w:rPr>
              <w:t xml:space="preserve">okytojo </w:t>
            </w:r>
            <w:r w:rsidRPr="00D27C21">
              <w:rPr>
                <w:rFonts w:ascii="Arial" w:hAnsi="Arial" w:cs="Arial"/>
                <w:sz w:val="24"/>
                <w:szCs w:val="24"/>
              </w:rPr>
              <w:t>knyga</w:t>
            </w:r>
            <w:r w:rsidR="00D27C21" w:rsidRPr="00D27C21">
              <w:rPr>
                <w:rFonts w:ascii="Arial" w:hAnsi="Arial" w:cs="Arial"/>
                <w:sz w:val="24"/>
                <w:szCs w:val="24"/>
              </w:rPr>
              <w:t xml:space="preserve"> (V. Stanišauskienė ir kt., 2023)</w:t>
            </w:r>
          </w:p>
          <w:p w14:paraId="587EE5D9" w14:textId="3F3C3AFB" w:rsidR="00930078" w:rsidRDefault="00930078" w:rsidP="0038156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E1">
              <w:rPr>
                <w:rFonts w:ascii="Arial" w:hAnsi="Arial" w:cs="Arial"/>
                <w:sz w:val="24"/>
                <w:szCs w:val="24"/>
              </w:rPr>
              <w:t>Svarbiausios vertybės:</w:t>
            </w:r>
            <w:r w:rsidR="00D27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AE1">
              <w:rPr>
                <w:rFonts w:ascii="Arial" w:hAnsi="Arial" w:cs="Arial"/>
                <w:sz w:val="24"/>
                <w:szCs w:val="24"/>
              </w:rPr>
              <w:t>44 vertybės, kuriomis dera vadovautis gyvenime</w:t>
            </w:r>
            <w:r w:rsidR="00D27C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27C21" w:rsidRPr="00D73AE1">
              <w:rPr>
                <w:rFonts w:ascii="Arial" w:hAnsi="Arial" w:cs="Arial"/>
                <w:sz w:val="24"/>
                <w:szCs w:val="24"/>
              </w:rPr>
              <w:t>J. Moore-Mallinos, J. Seal</w:t>
            </w:r>
            <w:r w:rsidR="00D27C2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27C21" w:rsidRPr="00D73AE1">
              <w:rPr>
                <w:rFonts w:ascii="Arial" w:hAnsi="Arial" w:cs="Arial"/>
                <w:sz w:val="24"/>
                <w:szCs w:val="24"/>
              </w:rPr>
              <w:t xml:space="preserve">2022) </w:t>
            </w:r>
            <w:r w:rsidRPr="00D73AE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B6F8B68" w14:textId="04AF84AE" w:rsidR="00930078" w:rsidRDefault="00930078" w:rsidP="00F8723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Vertybių knyga</w:t>
            </w:r>
            <w:r w:rsidR="00D27C21">
              <w:rPr>
                <w:rFonts w:ascii="Arial" w:hAnsi="Arial" w:cs="Arial"/>
                <w:sz w:val="24"/>
                <w:szCs w:val="24"/>
              </w:rPr>
              <w:t>: s</w:t>
            </w:r>
            <w:r>
              <w:rPr>
                <w:rFonts w:ascii="Arial" w:hAnsi="Arial" w:cs="Arial"/>
                <w:sz w:val="24"/>
                <w:szCs w:val="24"/>
              </w:rPr>
              <w:t>upažindiname vaikus su 16 svarbiausių vertybių</w:t>
            </w:r>
            <w:r w:rsidR="00D27C21">
              <w:rPr>
                <w:rFonts w:ascii="Arial" w:hAnsi="Arial" w:cs="Arial"/>
                <w:sz w:val="24"/>
                <w:szCs w:val="24"/>
              </w:rPr>
              <w:t xml:space="preserve"> (P. Schiller, T. Bryant, 2005)</w:t>
            </w:r>
          </w:p>
        </w:tc>
      </w:tr>
    </w:tbl>
    <w:p w14:paraId="4C6010C3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12737CE4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333A44C9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5170DDE8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35A695C7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15456A45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66C441E8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245832B9" w14:textId="77777777" w:rsidR="00C90BC1" w:rsidRDefault="00C90BC1" w:rsidP="006B3A07">
      <w:pPr>
        <w:jc w:val="both"/>
        <w:rPr>
          <w:rFonts w:ascii="Arial" w:hAnsi="Arial" w:cs="Arial"/>
          <w:sz w:val="24"/>
          <w:szCs w:val="24"/>
        </w:rPr>
      </w:pPr>
    </w:p>
    <w:p w14:paraId="1E79FA82" w14:textId="77777777" w:rsidR="0045486E" w:rsidRPr="00D73AE1" w:rsidRDefault="0045486E" w:rsidP="006B3A07">
      <w:pPr>
        <w:jc w:val="both"/>
        <w:rPr>
          <w:rFonts w:ascii="Arial" w:hAnsi="Arial" w:cs="Arial"/>
          <w:sz w:val="24"/>
          <w:szCs w:val="24"/>
        </w:rPr>
      </w:pPr>
    </w:p>
    <w:sectPr w:rsidR="0045486E" w:rsidRPr="00D73A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40F"/>
    <w:multiLevelType w:val="hybridMultilevel"/>
    <w:tmpl w:val="FB2EB342"/>
    <w:lvl w:ilvl="0" w:tplc="774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0958"/>
    <w:multiLevelType w:val="hybridMultilevel"/>
    <w:tmpl w:val="9C54DC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270F"/>
    <w:multiLevelType w:val="hybridMultilevel"/>
    <w:tmpl w:val="30DA7AF8"/>
    <w:lvl w:ilvl="0" w:tplc="042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5B0A5FC2"/>
    <w:multiLevelType w:val="hybridMultilevel"/>
    <w:tmpl w:val="9F866E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22316">
    <w:abstractNumId w:val="3"/>
  </w:num>
  <w:num w:numId="2" w16cid:durableId="1503276299">
    <w:abstractNumId w:val="0"/>
  </w:num>
  <w:num w:numId="3" w16cid:durableId="2040621191">
    <w:abstractNumId w:val="2"/>
  </w:num>
  <w:num w:numId="4" w16cid:durableId="146742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03"/>
    <w:rsid w:val="00006590"/>
    <w:rsid w:val="00132591"/>
    <w:rsid w:val="001800C0"/>
    <w:rsid w:val="00186B20"/>
    <w:rsid w:val="00194578"/>
    <w:rsid w:val="0024177B"/>
    <w:rsid w:val="002560EE"/>
    <w:rsid w:val="00332D1C"/>
    <w:rsid w:val="0038156E"/>
    <w:rsid w:val="0045486E"/>
    <w:rsid w:val="004A7D60"/>
    <w:rsid w:val="004B42C8"/>
    <w:rsid w:val="006B3A07"/>
    <w:rsid w:val="006F41BB"/>
    <w:rsid w:val="007B4FC8"/>
    <w:rsid w:val="008068A2"/>
    <w:rsid w:val="00876993"/>
    <w:rsid w:val="0090226D"/>
    <w:rsid w:val="00930078"/>
    <w:rsid w:val="00993903"/>
    <w:rsid w:val="00A36C49"/>
    <w:rsid w:val="00C90BC1"/>
    <w:rsid w:val="00CD2054"/>
    <w:rsid w:val="00D02F58"/>
    <w:rsid w:val="00D27C21"/>
    <w:rsid w:val="00D610D5"/>
    <w:rsid w:val="00D73AE1"/>
    <w:rsid w:val="00E16D88"/>
    <w:rsid w:val="00EC23EC"/>
    <w:rsid w:val="00F70B98"/>
    <w:rsid w:val="00F714AB"/>
    <w:rsid w:val="00F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EB5D"/>
  <w15:chartTrackingRefBased/>
  <w15:docId w15:val="{61C000B7-4A67-43EB-BF9C-7193C2A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E1"/>
    <w:pPr>
      <w:ind w:left="720"/>
      <w:contextualSpacing/>
    </w:pPr>
  </w:style>
  <w:style w:type="table" w:styleId="TableGrid">
    <w:name w:val="Table Grid"/>
    <w:basedOn w:val="TableNormal"/>
    <w:uiPriority w:val="39"/>
    <w:rsid w:val="0045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A71A-C071-4395-8316-64CF1E99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Paurienė</dc:creator>
  <cp:keywords/>
  <dc:description/>
  <cp:lastModifiedBy>Vitalija Paurienė</cp:lastModifiedBy>
  <cp:revision>14</cp:revision>
  <dcterms:created xsi:type="dcterms:W3CDTF">2023-11-17T09:28:00Z</dcterms:created>
  <dcterms:modified xsi:type="dcterms:W3CDTF">2024-01-25T11:38:00Z</dcterms:modified>
</cp:coreProperties>
</file>